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宋体" w:hAnsi="宋体" w:eastAsia="宋体" w:cs="宋体"/>
          <w:b/>
          <w:sz w:val="44"/>
          <w:szCs w:val="44"/>
        </w:rPr>
      </w:pPr>
      <w:r>
        <w:rPr>
          <w:rFonts w:hint="eastAsia" w:ascii="宋体" w:hAnsi="宋体" w:eastAsia="宋体" w:cs="宋体"/>
          <w:b/>
          <w:sz w:val="44"/>
          <w:szCs w:val="44"/>
          <w:lang w:bidi="ar"/>
        </w:rPr>
        <w:t>关于举办</w:t>
      </w:r>
      <w:bookmarkStart w:id="0" w:name="OLE_LINK1"/>
      <w:r>
        <w:rPr>
          <w:rFonts w:hint="eastAsia" w:ascii="宋体" w:hAnsi="宋体" w:eastAsia="宋体" w:cs="宋体"/>
          <w:b/>
          <w:sz w:val="44"/>
          <w:szCs w:val="44"/>
          <w:lang w:bidi="ar"/>
        </w:rPr>
        <w:t>常州纺织服装职业技术学院第十九届大学生职业规划大赛暨第三届全国大学生职业规划大赛校赛</w:t>
      </w:r>
      <w:bookmarkEnd w:id="0"/>
      <w:r>
        <w:rPr>
          <w:rFonts w:hint="eastAsia" w:ascii="宋体" w:hAnsi="宋体" w:eastAsia="宋体" w:cs="宋体"/>
          <w:b/>
          <w:sz w:val="44"/>
          <w:szCs w:val="44"/>
          <w:lang w:bidi="ar"/>
        </w:rPr>
        <w:t>的通知</w:t>
      </w:r>
    </w:p>
    <w:p>
      <w:pPr>
        <w:spacing w:line="580" w:lineRule="exact"/>
        <w:rPr>
          <w:rFonts w:hint="eastAsia" w:ascii="仿宋" w:hAnsi="仿宋" w:eastAsia="仿宋" w:cs="仿宋"/>
          <w:sz w:val="32"/>
          <w:szCs w:val="32"/>
        </w:rPr>
      </w:pPr>
    </w:p>
    <w:p>
      <w:pPr>
        <w:spacing w:line="580" w:lineRule="exact"/>
        <w:rPr>
          <w:rFonts w:hint="eastAsia" w:ascii="仿宋" w:hAnsi="仿宋" w:eastAsia="仿宋" w:cs="仿宋"/>
          <w:b/>
          <w:bCs/>
          <w:sz w:val="32"/>
          <w:szCs w:val="32"/>
        </w:rPr>
      </w:pPr>
      <w:r>
        <w:rPr>
          <w:rFonts w:hint="eastAsia" w:ascii="仿宋" w:hAnsi="仿宋" w:eastAsia="仿宋" w:cs="仿宋"/>
          <w:b/>
          <w:bCs/>
          <w:sz w:val="32"/>
          <w:szCs w:val="32"/>
          <w:lang w:bidi="ar"/>
        </w:rPr>
        <w:t>各二级学院：</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为加强我校生涯教育和就业指导工作，以立德树人、就业育人为主线，努力打造生涯教育的大课堂，增强大学生生涯规划意识，促进我校毕业生高质量充分就业，</w:t>
      </w:r>
      <w:bookmarkStart w:id="4" w:name="_GoBack"/>
      <w:bookmarkEnd w:id="4"/>
      <w:r>
        <w:rPr>
          <w:rFonts w:hint="eastAsia" w:ascii="仿宋" w:hAnsi="仿宋" w:eastAsia="仿宋" w:cs="仿宋"/>
          <w:sz w:val="32"/>
          <w:szCs w:val="32"/>
          <w:lang w:bidi="ar"/>
        </w:rPr>
        <w:t>经研究决定举办常州纺织服装职业技术学院第十九届大学生职业规划大赛暨第三届全国大学生职业规划大赛校赛。现将相关事宜通知如下：</w:t>
      </w:r>
    </w:p>
    <w:p>
      <w:pPr>
        <w:spacing w:line="580" w:lineRule="exact"/>
        <w:rPr>
          <w:rFonts w:hint="eastAsia" w:ascii="黑体" w:hAnsi="宋体" w:eastAsia="黑体" w:cs="黑体"/>
          <w:sz w:val="32"/>
          <w:szCs w:val="32"/>
        </w:rPr>
      </w:pPr>
      <w:r>
        <w:rPr>
          <w:rFonts w:hint="eastAsia" w:ascii="黑体" w:hAnsi="宋体" w:eastAsia="黑体" w:cs="黑体"/>
          <w:sz w:val="32"/>
          <w:szCs w:val="32"/>
          <w:lang w:bidi="ar"/>
        </w:rPr>
        <w:t>一、大赛主题</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知行合一，职引未来</w:t>
      </w:r>
    </w:p>
    <w:p>
      <w:pPr>
        <w:spacing w:line="580" w:lineRule="exact"/>
        <w:rPr>
          <w:rFonts w:hint="eastAsia" w:ascii="黑体" w:hAnsi="宋体" w:eastAsia="黑体" w:cs="黑体"/>
          <w:sz w:val="32"/>
          <w:szCs w:val="32"/>
        </w:rPr>
      </w:pPr>
      <w:r>
        <w:rPr>
          <w:rFonts w:hint="eastAsia" w:ascii="黑体" w:hAnsi="宋体" w:eastAsia="黑体" w:cs="黑体"/>
          <w:sz w:val="32"/>
          <w:szCs w:val="32"/>
          <w:lang w:bidi="ar"/>
        </w:rPr>
        <w:t>二、参赛对象</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2023-2025级全体学生</w:t>
      </w:r>
    </w:p>
    <w:p>
      <w:pPr>
        <w:spacing w:line="580" w:lineRule="exact"/>
        <w:rPr>
          <w:rFonts w:hint="eastAsia" w:ascii="黑体" w:hAnsi="宋体" w:eastAsia="黑体" w:cs="黑体"/>
          <w:sz w:val="32"/>
          <w:szCs w:val="32"/>
        </w:rPr>
      </w:pPr>
      <w:r>
        <w:rPr>
          <w:rFonts w:hint="eastAsia" w:ascii="黑体" w:hAnsi="宋体" w:eastAsia="黑体" w:cs="黑体"/>
          <w:sz w:val="32"/>
          <w:szCs w:val="32"/>
          <w:lang w:bidi="ar"/>
        </w:rPr>
        <w:t>三、赛程安排</w:t>
      </w:r>
    </w:p>
    <w:p>
      <w:pPr>
        <w:spacing w:line="580" w:lineRule="exact"/>
        <w:rPr>
          <w:rFonts w:hint="eastAsia" w:ascii="楷体" w:hAnsi="楷体" w:eastAsia="楷体" w:cs="楷体"/>
          <w:sz w:val="32"/>
          <w:szCs w:val="32"/>
        </w:rPr>
      </w:pPr>
      <w:r>
        <w:rPr>
          <w:rFonts w:hint="eastAsia" w:ascii="楷体" w:hAnsi="楷体" w:eastAsia="楷体" w:cs="楷体"/>
          <w:sz w:val="32"/>
          <w:szCs w:val="32"/>
          <w:lang w:bidi="ar"/>
        </w:rPr>
        <w:t>（一）院级选拔赛（即日起-2025年10月18日）</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由各二级学院负责组织本院学生大赛报名（全国职规赛官网</w:t>
      </w:r>
      <w:r>
        <w:rPr>
          <w:rFonts w:ascii="仿宋" w:hAnsi="仿宋" w:eastAsia="仿宋" w:cs="仿宋"/>
          <w:sz w:val="32"/>
          <w:szCs w:val="32"/>
          <w:lang w:bidi="ar"/>
        </w:rPr>
        <w:t>https://zgs.chsi.com.cn/</w:t>
      </w:r>
      <w:r>
        <w:rPr>
          <w:rFonts w:hint="eastAsia" w:ascii="仿宋" w:hAnsi="仿宋" w:eastAsia="仿宋" w:cs="仿宋"/>
          <w:sz w:val="32"/>
          <w:szCs w:val="32"/>
          <w:lang w:bidi="ar"/>
        </w:rPr>
        <w:t>），具体报名开放时间另行通知）和院赛，提交报名人数不低于在册学生总数80%，院赛</w:t>
      </w:r>
      <w:bookmarkStart w:id="1" w:name="OLE_LINK5"/>
      <w:r>
        <w:rPr>
          <w:rFonts w:hint="eastAsia" w:ascii="仿宋" w:hAnsi="仿宋" w:eastAsia="仿宋" w:cs="仿宋"/>
          <w:sz w:val="32"/>
          <w:szCs w:val="32"/>
          <w:lang w:bidi="ar"/>
        </w:rPr>
        <w:t>参照2024年国赛要求</w:t>
      </w:r>
      <w:bookmarkEnd w:id="1"/>
      <w:r>
        <w:rPr>
          <w:rFonts w:hint="eastAsia" w:ascii="仿宋" w:hAnsi="仿宋" w:eastAsia="仿宋" w:cs="仿宋"/>
          <w:sz w:val="32"/>
          <w:szCs w:val="32"/>
          <w:lang w:bidi="ar"/>
        </w:rPr>
        <w:t>进行比赛、评审。院赛推荐晋级校赛人数成长赛道不少于2个，就业赛道不少于1个。择优推荐、不设上限。</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参赛选手需提交以下参赛材料：</w:t>
      </w:r>
    </w:p>
    <w:p>
      <w:pPr>
        <w:adjustRightInd w:val="0"/>
        <w:snapToGrid w:val="0"/>
        <w:spacing w:line="560" w:lineRule="exact"/>
        <w:ind w:firstLine="643" w:firstLineChars="200"/>
        <w:rPr>
          <w:rFonts w:hint="eastAsia" w:ascii="仿宋" w:hAnsi="仿宋" w:eastAsia="仿宋" w:cs="仿宋"/>
          <w:sz w:val="32"/>
          <w:szCs w:val="32"/>
          <w:lang w:bidi="ar"/>
        </w:rPr>
      </w:pPr>
      <w:r>
        <w:rPr>
          <w:rFonts w:hint="eastAsia" w:ascii="仿宋" w:hAnsi="仿宋" w:eastAsia="仿宋" w:cs="仿宋"/>
          <w:b/>
          <w:sz w:val="32"/>
          <w:szCs w:val="32"/>
          <w:lang w:bidi="ar"/>
        </w:rPr>
        <w:t>1.成长赛道。</w:t>
      </w:r>
      <w:r>
        <w:rPr>
          <w:rFonts w:hint="eastAsia" w:ascii="仿宋" w:hAnsi="仿宋" w:eastAsia="仿宋" w:cs="仿宋"/>
          <w:sz w:val="32"/>
          <w:szCs w:val="32"/>
          <w:lang w:bidi="ar"/>
        </w:rPr>
        <w:t>成长赛道参赛对象为全日制中低年级在校学生，面向一、二年级学生。</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考察职业发展规划的科学性和围绕实现职业目标的成长过程，通过学习实践持续提升职业目标达成度，增强综合素质和能力。</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（1）生涯发展报告：职业发展规划、实现职业目标的具体行动和成果（PDF 格式，文字不超过1500字，如有图表不超过5张）。</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（2）生涯发展展示（PPT格式，不超过50MB；可加入视频）。</w:t>
      </w:r>
    </w:p>
    <w:p>
      <w:pPr>
        <w:adjustRightInd w:val="0"/>
        <w:snapToGrid w:val="0"/>
        <w:spacing w:line="560" w:lineRule="exact"/>
        <w:ind w:left="420" w:firstLine="161" w:firstLineChars="50"/>
        <w:rPr>
          <w:rFonts w:hint="eastAsia" w:ascii="仿宋" w:hAnsi="仿宋" w:eastAsia="仿宋" w:cs="仿宋"/>
          <w:sz w:val="32"/>
          <w:szCs w:val="32"/>
          <w:lang w:bidi="ar"/>
        </w:rPr>
      </w:pPr>
      <w:r>
        <w:rPr>
          <w:rFonts w:hint="eastAsia" w:ascii="仿宋" w:hAnsi="仿宋" w:eastAsia="仿宋" w:cs="仿宋"/>
          <w:b/>
          <w:sz w:val="32"/>
          <w:szCs w:val="32"/>
          <w:lang w:bidi="ar"/>
        </w:rPr>
        <w:t>2.就业赛道。</w:t>
      </w:r>
      <w:r>
        <w:rPr>
          <w:rFonts w:hint="eastAsia" w:ascii="仿宋" w:hAnsi="仿宋" w:eastAsia="仿宋" w:cs="仿宋"/>
          <w:sz w:val="32"/>
          <w:szCs w:val="32"/>
          <w:lang w:bidi="ar"/>
        </w:rPr>
        <w:t>参赛对象为全日制高年级在校学生，面向</w:t>
      </w:r>
    </w:p>
    <w:p>
      <w:pPr>
        <w:adjustRightInd w:val="0"/>
        <w:snapToGrid w:val="0"/>
        <w:spacing w:line="560" w:lineRule="exact"/>
        <w:rPr>
          <w:rFonts w:hint="eastAsia" w:ascii="仿宋" w:hAnsi="仿宋" w:eastAsia="仿宋" w:cs="仿宋"/>
          <w:sz w:val="32"/>
          <w:szCs w:val="32"/>
          <w:lang w:bidi="ar"/>
        </w:rPr>
      </w:pPr>
      <w:r>
        <w:rPr>
          <w:rFonts w:hint="eastAsia" w:ascii="仿宋" w:hAnsi="仿宋" w:eastAsia="仿宋" w:cs="仿宋"/>
          <w:sz w:val="32"/>
          <w:szCs w:val="32"/>
          <w:lang w:bidi="ar"/>
        </w:rPr>
        <w:t>二、三年级学生。</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考察求职实战能力，个人发展路径与经济社会发展需要的适应度，就业能力与职业目标和岗位要求的契合度。</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（1）求职简历（PDF格式）。</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（2）就业能力展示（PPT格式，不超过50MB；可加入视频）。</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（3）辅助证明材料，包括实践、实习、获奖等证明材料（采用PDF格式，不超过50MB），整合为单个文件。</w:t>
      </w:r>
    </w:p>
    <w:p>
      <w:pPr>
        <w:spacing w:line="580" w:lineRule="exact"/>
        <w:rPr>
          <w:rFonts w:hint="eastAsia" w:ascii="楷体" w:hAnsi="楷体" w:eastAsia="楷体" w:cs="楷体"/>
          <w:sz w:val="32"/>
          <w:szCs w:val="32"/>
        </w:rPr>
      </w:pPr>
      <w:r>
        <w:rPr>
          <w:rFonts w:hint="eastAsia" w:ascii="楷体" w:hAnsi="楷体" w:eastAsia="楷体" w:cs="楷体"/>
          <w:sz w:val="32"/>
          <w:szCs w:val="32"/>
          <w:lang w:bidi="ar"/>
        </w:rPr>
        <w:t>（二）全校决赛</w:t>
      </w:r>
    </w:p>
    <w:p>
      <w:pPr>
        <w:snapToGrid w:val="0"/>
        <w:spacing w:line="560" w:lineRule="exact"/>
        <w:ind w:firstLine="640" w:firstLineChars="200"/>
        <w:rPr>
          <w:rFonts w:hint="eastAsia" w:ascii="仿宋" w:hAnsi="仿宋" w:eastAsia="仿宋" w:cs="仿宋"/>
          <w:sz w:val="32"/>
          <w:szCs w:val="32"/>
          <w:lang w:bidi="ar"/>
        </w:rPr>
      </w:pPr>
      <w:r>
        <w:rPr>
          <w:rFonts w:hint="eastAsia" w:ascii="仿宋" w:hAnsi="仿宋" w:eastAsia="仿宋" w:cs="仿宋"/>
          <w:sz w:val="32"/>
          <w:szCs w:val="32"/>
          <w:lang w:bidi="ar"/>
        </w:rPr>
        <w:t>校级比赛环节流程：</w:t>
      </w:r>
    </w:p>
    <w:p>
      <w:pPr>
        <w:snapToGrid w:val="0"/>
        <w:spacing w:line="560" w:lineRule="exact"/>
        <w:ind w:firstLine="640" w:firstLineChars="200"/>
        <w:rPr>
          <w:rFonts w:hint="eastAsia" w:ascii="仿宋" w:hAnsi="仿宋" w:eastAsia="仿宋" w:cs="仿宋"/>
          <w:sz w:val="32"/>
          <w:szCs w:val="32"/>
          <w:lang w:bidi="ar"/>
        </w:rPr>
      </w:pPr>
      <w:r>
        <w:rPr>
          <w:rFonts w:hint="eastAsia" w:ascii="仿宋" w:hAnsi="仿宋" w:eastAsia="仿宋" w:cs="仿宋"/>
          <w:sz w:val="32"/>
          <w:szCs w:val="32"/>
          <w:lang w:bidi="ar"/>
        </w:rPr>
        <w:t>（1）2025年10年25日前招就处组织专家对院赛提交的参赛材料进行网络评审，通过网络评审的项目可参加现场决赛。</w:t>
      </w:r>
    </w:p>
    <w:p>
      <w:pPr>
        <w:snapToGrid w:val="0"/>
        <w:spacing w:line="560" w:lineRule="exact"/>
        <w:ind w:firstLine="640" w:firstLineChars="200"/>
        <w:rPr>
          <w:rFonts w:hint="eastAsia" w:ascii="仿宋" w:hAnsi="仿宋" w:eastAsia="仿宋" w:cs="仿宋"/>
          <w:sz w:val="32"/>
          <w:szCs w:val="32"/>
          <w:lang w:bidi="ar"/>
        </w:rPr>
      </w:pPr>
      <w:r>
        <w:rPr>
          <w:rFonts w:hint="eastAsia" w:ascii="仿宋" w:hAnsi="仿宋" w:eastAsia="仿宋" w:cs="仿宋"/>
          <w:sz w:val="32"/>
          <w:szCs w:val="32"/>
          <w:lang w:bidi="ar"/>
        </w:rPr>
        <w:t>（2）11月初，完成学校现场决赛</w:t>
      </w:r>
    </w:p>
    <w:p>
      <w:pPr>
        <w:spacing w:line="580" w:lineRule="exact"/>
        <w:ind w:firstLine="643" w:firstLineChars="200"/>
        <w:rPr>
          <w:rFonts w:hint="eastAsia" w:ascii="仿宋" w:hAnsi="仿宋" w:eastAsia="仿宋" w:cs="仿宋"/>
          <w:sz w:val="32"/>
          <w:szCs w:val="32"/>
        </w:rPr>
      </w:pPr>
      <w:r>
        <w:rPr>
          <w:rFonts w:hint="eastAsia" w:ascii="仿宋" w:hAnsi="仿宋" w:eastAsia="仿宋" w:cs="仿宋"/>
          <w:b/>
          <w:sz w:val="32"/>
          <w:szCs w:val="32"/>
          <w:lang w:bidi="ar"/>
        </w:rPr>
        <w:t>1.参赛对象：</w:t>
      </w:r>
      <w:r>
        <w:rPr>
          <w:rFonts w:hint="eastAsia" w:ascii="仿宋" w:hAnsi="仿宋" w:eastAsia="仿宋" w:cs="仿宋"/>
          <w:sz w:val="32"/>
          <w:szCs w:val="32"/>
          <w:lang w:bidi="ar"/>
        </w:rPr>
        <w:t>根据专家网评结果确定现场决赛名单</w:t>
      </w:r>
    </w:p>
    <w:p>
      <w:pPr>
        <w:spacing w:line="580" w:lineRule="exact"/>
        <w:ind w:firstLine="643" w:firstLineChars="200"/>
        <w:rPr>
          <w:rFonts w:hint="eastAsia" w:ascii="仿宋" w:hAnsi="仿宋" w:eastAsia="仿宋" w:cs="仿宋"/>
          <w:sz w:val="32"/>
          <w:szCs w:val="32"/>
        </w:rPr>
      </w:pPr>
      <w:r>
        <w:rPr>
          <w:rFonts w:hint="eastAsia" w:ascii="仿宋" w:hAnsi="仿宋" w:eastAsia="仿宋" w:cs="仿宋"/>
          <w:b/>
          <w:sz w:val="32"/>
          <w:szCs w:val="32"/>
          <w:lang w:bidi="ar"/>
        </w:rPr>
        <w:t>2.参赛要求：</w:t>
      </w:r>
      <w:r>
        <w:rPr>
          <w:rFonts w:hint="eastAsia" w:ascii="仿宋" w:hAnsi="仿宋" w:eastAsia="仿宋" w:cs="仿宋"/>
          <w:sz w:val="32"/>
          <w:szCs w:val="32"/>
          <w:lang w:bidi="ar"/>
        </w:rPr>
        <w:t>参照2024年国赛要求。</w:t>
      </w:r>
    </w:p>
    <w:p>
      <w:pPr>
        <w:spacing w:line="580" w:lineRule="exact"/>
        <w:ind w:firstLine="643" w:firstLineChars="200"/>
        <w:rPr>
          <w:rFonts w:hint="eastAsia" w:ascii="仿宋" w:hAnsi="仿宋" w:eastAsia="仿宋" w:cs="仿宋"/>
          <w:sz w:val="32"/>
          <w:szCs w:val="32"/>
        </w:rPr>
      </w:pPr>
      <w:r>
        <w:rPr>
          <w:rFonts w:hint="eastAsia" w:ascii="仿宋" w:hAnsi="仿宋" w:eastAsia="仿宋" w:cs="仿宋"/>
          <w:b/>
          <w:sz w:val="32"/>
          <w:szCs w:val="32"/>
          <w:lang w:bidi="ar"/>
        </w:rPr>
        <w:t>3.决赛形式：</w:t>
      </w:r>
      <w:r>
        <w:rPr>
          <w:rFonts w:hint="eastAsia" w:ascii="仿宋" w:hAnsi="仿宋" w:eastAsia="仿宋" w:cs="仿宋"/>
          <w:sz w:val="32"/>
          <w:szCs w:val="32"/>
          <w:lang w:bidi="ar"/>
        </w:rPr>
        <w:t>参照2024年国赛要求。</w:t>
      </w:r>
    </w:p>
    <w:p>
      <w:pPr>
        <w:spacing w:line="580" w:lineRule="exact"/>
        <w:ind w:firstLine="643" w:firstLineChars="200"/>
        <w:rPr>
          <w:rFonts w:hint="eastAsia" w:ascii="仿宋" w:hAnsi="仿宋" w:eastAsia="仿宋" w:cs="仿宋"/>
          <w:sz w:val="32"/>
          <w:szCs w:val="32"/>
          <w:lang w:bidi="ar"/>
        </w:rPr>
      </w:pPr>
      <w:r>
        <w:rPr>
          <w:rFonts w:hint="eastAsia" w:ascii="仿宋" w:hAnsi="仿宋" w:eastAsia="仿宋" w:cs="仿宋"/>
          <w:b/>
          <w:sz w:val="32"/>
          <w:szCs w:val="32"/>
          <w:lang w:bidi="ar"/>
        </w:rPr>
        <w:t>4.总决赛评分环节包括：</w:t>
      </w:r>
      <w:r>
        <w:rPr>
          <w:rFonts w:hint="eastAsia" w:ascii="仿宋" w:hAnsi="仿宋" w:eastAsia="仿宋" w:cs="仿宋"/>
          <w:sz w:val="32"/>
          <w:szCs w:val="32"/>
          <w:lang w:bidi="ar"/>
        </w:rPr>
        <w:t>参照2024年国赛要求，成长赛道设主题陈述和评委提问环节，就业赛道设主题陈述和综合面试环节。</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校赛结束后，学校将根据上级组委会分配的名额及选手表现，综合推荐参加省级比赛的选手。</w:t>
      </w:r>
    </w:p>
    <w:p>
      <w:pPr>
        <w:spacing w:line="580" w:lineRule="exact"/>
        <w:ind w:firstLine="640" w:firstLineChars="200"/>
        <w:rPr>
          <w:rFonts w:hint="eastAsia" w:ascii="仿宋" w:hAnsi="仿宋" w:eastAsia="仿宋" w:cs="仿宋"/>
          <w:sz w:val="32"/>
          <w:szCs w:val="32"/>
        </w:rPr>
      </w:pPr>
    </w:p>
    <w:p>
      <w:pPr>
        <w:spacing w:line="580" w:lineRule="exact"/>
        <w:rPr>
          <w:rFonts w:hint="eastAsia" w:ascii="黑体" w:hAnsi="宋体" w:eastAsia="黑体" w:cs="黑体"/>
          <w:sz w:val="32"/>
          <w:szCs w:val="32"/>
        </w:rPr>
      </w:pPr>
      <w:r>
        <w:rPr>
          <w:rFonts w:hint="eastAsia" w:ascii="黑体" w:hAnsi="宋体" w:eastAsia="黑体" w:cs="黑体"/>
          <w:sz w:val="32"/>
          <w:szCs w:val="32"/>
          <w:lang w:bidi="ar"/>
        </w:rPr>
        <w:t>四、奖项设置</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（一）优秀个人奖。校赛设每个赛道一等奖1名、二等奖2名、三等奖3名，优秀奖若干，均颁发荣誉证书。</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（二）优秀指导教师奖。被评为一、二等奖选手的指导老师获得优秀指导教师奖，校赛阶段每位选手设1名指导老师。</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（三）优秀组织奖。根据各学院组织情况、推荐选手成绩以及大赛省级平台官方网站（zgs.chsi.com.cn）提交作品数量等，评选优秀组织奖2项。</w:t>
      </w:r>
    </w:p>
    <w:p>
      <w:pPr>
        <w:spacing w:line="580" w:lineRule="exact"/>
        <w:rPr>
          <w:rFonts w:hint="eastAsia" w:ascii="黑体" w:hAnsi="宋体" w:eastAsia="黑体" w:cs="黑体"/>
          <w:sz w:val="32"/>
          <w:szCs w:val="32"/>
        </w:rPr>
      </w:pPr>
      <w:r>
        <w:rPr>
          <w:rFonts w:hint="eastAsia" w:ascii="黑体" w:hAnsi="宋体" w:eastAsia="黑体" w:cs="黑体"/>
          <w:sz w:val="32"/>
          <w:szCs w:val="32"/>
          <w:lang w:bidi="ar"/>
        </w:rPr>
        <w:t>五、工作要求</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（一）精心组织。各二级学院要高度重视、周密部署、精心组织，确保高效有序推进。积极推荐动员教师参与赛事指导，做好一对一赛事服务工作。</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（二）充分发动。各学院要认真做好大赛宣传动员工作，把大赛作为促就业的重要载体，积极动员和鼓励学生报名参赛。</w:t>
      </w:r>
    </w:p>
    <w:p>
      <w:pPr>
        <w:spacing w:line="580" w:lineRule="exact"/>
        <w:rPr>
          <w:rFonts w:hint="eastAsia" w:ascii="黑体" w:hAnsi="宋体" w:eastAsia="黑体" w:cs="黑体"/>
          <w:sz w:val="32"/>
          <w:szCs w:val="32"/>
        </w:rPr>
      </w:pPr>
      <w:r>
        <w:rPr>
          <w:rFonts w:hint="eastAsia" w:ascii="黑体" w:hAnsi="宋体" w:eastAsia="黑体" w:cs="黑体"/>
          <w:sz w:val="32"/>
          <w:szCs w:val="32"/>
          <w:lang w:bidi="ar"/>
        </w:rPr>
        <w:t>六、其他事项</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（一）参赛者必须是参赛作品的原创作者，并保证其拥有该作品的合法著作权。</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（二）获奖作品如发现有抄袭、盗用、作弊等不法手段，或不符合规定及违反他人著作权的，给予取消其参赛资格并追回奖励。</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（三）所有参赛作品均不得涉及暴力、色情、非法宗教宣传等与国家法律、法规相抵触的内容。</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bidi="ar"/>
        </w:rPr>
        <w:t>（四）请各学院于10月20日17:00前将院赛开展情况总结材料、参赛选手作品相关材料以及校赛名单发至招就处邮箱：</w:t>
      </w:r>
      <w:r>
        <w:rPr>
          <w:rFonts w:hint="eastAsia" w:ascii="仿宋" w:hAnsi="仿宋" w:eastAsia="仿宋" w:cs="仿宋"/>
          <w:sz w:val="32"/>
          <w:szCs w:val="32"/>
        </w:rPr>
        <w:t>lsf@cztgi.edu.cn，联系人：李老师</w:t>
      </w:r>
      <w:r>
        <w:rPr>
          <w:rFonts w:hint="eastAsia" w:ascii="仿宋" w:hAnsi="仿宋" w:eastAsia="仿宋" w:cs="仿宋"/>
          <w:sz w:val="32"/>
          <w:szCs w:val="32"/>
          <w:lang w:bidi="ar"/>
        </w:rPr>
        <w:t>。</w:t>
      </w:r>
      <w:r>
        <w:rPr>
          <w:rFonts w:hint="eastAsia" w:ascii="仿宋" w:hAnsi="仿宋" w:eastAsia="仿宋" w:cs="仿宋"/>
          <w:sz w:val="32"/>
          <w:szCs w:val="32"/>
        </w:rPr>
        <w:t xml:space="preserve"> </w:t>
      </w:r>
    </w:p>
    <w:p>
      <w:pPr>
        <w:spacing w:line="580" w:lineRule="exact"/>
        <w:rPr>
          <w:rFonts w:hint="eastAsia" w:ascii="仿宋" w:hAnsi="仿宋" w:eastAsia="仿宋" w:cs="仿宋"/>
          <w:sz w:val="32"/>
          <w:szCs w:val="32"/>
        </w:rPr>
      </w:pPr>
    </w:p>
    <w:p>
      <w:pPr>
        <w:spacing w:line="580" w:lineRule="exact"/>
        <w:rPr>
          <w:rFonts w:hint="eastAsia" w:ascii="仿宋" w:hAnsi="仿宋" w:eastAsia="仿宋" w:cs="仿宋"/>
          <w:sz w:val="32"/>
          <w:szCs w:val="32"/>
        </w:rPr>
      </w:pPr>
    </w:p>
    <w:tbl>
      <w:tblPr>
        <w:tblStyle w:val="5"/>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129"/>
        <w:gridCol w:w="7167"/>
      </w:tblGrid>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129" w:type="dxa"/>
          </w:tcPr>
          <w:p>
            <w:pPr>
              <w:spacing w:line="580" w:lineRule="exact"/>
              <w:rPr>
                <w:rFonts w:hint="eastAsia" w:ascii="仿宋" w:hAnsi="仿宋" w:eastAsia="仿宋" w:cs="仿宋"/>
                <w:sz w:val="32"/>
                <w:szCs w:val="32"/>
              </w:rPr>
            </w:pPr>
            <w:r>
              <w:rPr>
                <w:rFonts w:hint="eastAsia" w:ascii="仿宋" w:hAnsi="仿宋" w:eastAsia="仿宋" w:cs="仿宋"/>
                <w:sz w:val="32"/>
                <w:szCs w:val="32"/>
                <w:lang w:bidi="ar"/>
              </w:rPr>
              <w:t>附件：</w:t>
            </w:r>
          </w:p>
        </w:tc>
        <w:tc>
          <w:tcPr>
            <w:tcW w:w="7167" w:type="dxa"/>
          </w:tcPr>
          <w:p>
            <w:pPr>
              <w:spacing w:line="580" w:lineRule="exact"/>
              <w:rPr>
                <w:rFonts w:hint="eastAsia" w:ascii="仿宋" w:hAnsi="仿宋" w:eastAsia="仿宋" w:cs="仿宋"/>
                <w:sz w:val="32"/>
                <w:szCs w:val="32"/>
              </w:rPr>
            </w:pPr>
            <w:r>
              <w:rPr>
                <w:rFonts w:hint="eastAsia" w:ascii="仿宋" w:hAnsi="仿宋" w:eastAsia="仿宋" w:cs="仿宋"/>
                <w:sz w:val="32"/>
                <w:szCs w:val="32"/>
                <w:lang w:bidi="ar"/>
              </w:rPr>
              <w:t>1.校赛成长赛道方案</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92" w:hRule="atLeast"/>
        </w:trPr>
        <w:tc>
          <w:tcPr>
            <w:tcW w:w="1129" w:type="dxa"/>
          </w:tcPr>
          <w:p>
            <w:pPr>
              <w:spacing w:line="580" w:lineRule="exact"/>
              <w:rPr>
                <w:rFonts w:hint="eastAsia" w:ascii="仿宋" w:hAnsi="仿宋" w:eastAsia="仿宋" w:cs="仿宋"/>
                <w:sz w:val="32"/>
                <w:szCs w:val="32"/>
              </w:rPr>
            </w:pPr>
          </w:p>
        </w:tc>
        <w:tc>
          <w:tcPr>
            <w:tcW w:w="7167" w:type="dxa"/>
          </w:tcPr>
          <w:p>
            <w:pPr>
              <w:spacing w:line="580" w:lineRule="exact"/>
              <w:rPr>
                <w:rFonts w:hint="eastAsia" w:ascii="仿宋" w:hAnsi="仿宋" w:eastAsia="仿宋" w:cs="仿宋"/>
                <w:sz w:val="32"/>
                <w:szCs w:val="32"/>
              </w:rPr>
            </w:pPr>
            <w:r>
              <w:rPr>
                <w:rFonts w:hint="eastAsia" w:ascii="仿宋" w:hAnsi="仿宋" w:eastAsia="仿宋" w:cs="仿宋"/>
                <w:sz w:val="32"/>
                <w:szCs w:val="32"/>
                <w:lang w:bidi="ar"/>
              </w:rPr>
              <w:t>2.校赛就业赛道方案</w:t>
            </w:r>
          </w:p>
        </w:tc>
      </w:tr>
    </w:tbl>
    <w:p>
      <w:pPr>
        <w:spacing w:line="580" w:lineRule="exact"/>
        <w:rPr>
          <w:rFonts w:hint="eastAsia" w:ascii="仿宋" w:hAnsi="仿宋" w:eastAsia="仿宋" w:cs="仿宋"/>
          <w:sz w:val="32"/>
          <w:szCs w:val="32"/>
        </w:rPr>
      </w:pPr>
    </w:p>
    <w:p>
      <w:pPr>
        <w:spacing w:line="580" w:lineRule="exact"/>
        <w:ind w:firstLine="640" w:firstLineChars="200"/>
        <w:jc w:val="right"/>
        <w:rPr>
          <w:rFonts w:hint="eastAsia" w:ascii="仿宋" w:hAnsi="仿宋" w:eastAsia="仿宋" w:cs="仿宋"/>
          <w:sz w:val="32"/>
          <w:szCs w:val="32"/>
          <w:lang w:bidi="ar"/>
        </w:rPr>
      </w:pPr>
    </w:p>
    <w:p>
      <w:pPr>
        <w:spacing w:line="580" w:lineRule="exact"/>
        <w:ind w:firstLine="640" w:firstLineChars="200"/>
        <w:jc w:val="right"/>
        <w:rPr>
          <w:rFonts w:hint="eastAsia" w:ascii="仿宋" w:hAnsi="仿宋" w:eastAsia="仿宋" w:cs="仿宋"/>
          <w:sz w:val="32"/>
          <w:szCs w:val="32"/>
          <w:lang w:bidi="ar"/>
        </w:rPr>
      </w:pPr>
    </w:p>
    <w:p>
      <w:pPr>
        <w:spacing w:line="580" w:lineRule="exact"/>
        <w:ind w:firstLine="640" w:firstLineChars="200"/>
        <w:jc w:val="right"/>
        <w:rPr>
          <w:rFonts w:hint="eastAsia" w:ascii="仿宋" w:hAnsi="仿宋" w:eastAsia="仿宋" w:cs="仿宋"/>
          <w:sz w:val="32"/>
          <w:szCs w:val="32"/>
        </w:rPr>
      </w:pPr>
      <w:r>
        <w:rPr>
          <w:rFonts w:hint="eastAsia" w:ascii="仿宋" w:hAnsi="仿宋" w:eastAsia="仿宋" w:cs="仿宋"/>
          <w:sz w:val="32"/>
          <w:szCs w:val="32"/>
          <w:lang w:bidi="ar"/>
        </w:rPr>
        <w:t>招生就业处</w:t>
      </w:r>
    </w:p>
    <w:p>
      <w:pPr>
        <w:spacing w:line="580" w:lineRule="exact"/>
        <w:ind w:firstLine="640" w:firstLineChars="200"/>
        <w:jc w:val="right"/>
        <w:rPr>
          <w:rFonts w:hint="eastAsia" w:ascii="仿宋" w:hAnsi="仿宋" w:eastAsia="仿宋" w:cs="仿宋"/>
          <w:sz w:val="32"/>
          <w:szCs w:val="32"/>
        </w:rPr>
      </w:pPr>
      <w:r>
        <w:rPr>
          <w:rFonts w:hint="eastAsia" w:ascii="仿宋" w:hAnsi="仿宋" w:eastAsia="仿宋" w:cs="仿宋"/>
          <w:sz w:val="32"/>
          <w:szCs w:val="32"/>
          <w:lang w:bidi="ar"/>
        </w:rPr>
        <w:t>2025年9月16日</w:t>
      </w:r>
    </w:p>
    <w:p>
      <w:pPr>
        <w:jc w:val="left"/>
        <w:rPr>
          <w:rFonts w:hint="eastAsia" w:ascii="仿宋" w:hAnsi="仿宋" w:eastAsia="仿宋" w:cs="仿宋"/>
          <w:sz w:val="32"/>
          <w:szCs w:val="32"/>
          <w:lang w:bidi="ar"/>
        </w:rPr>
      </w:pPr>
    </w:p>
    <w:p>
      <w:pPr>
        <w:jc w:val="left"/>
        <w:rPr>
          <w:rFonts w:hint="eastAsia" w:ascii="仿宋" w:hAnsi="仿宋" w:eastAsia="仿宋" w:cs="仿宋"/>
          <w:sz w:val="32"/>
          <w:szCs w:val="32"/>
          <w:lang w:bidi="ar"/>
        </w:rPr>
      </w:pPr>
      <w:r>
        <w:rPr>
          <w:rFonts w:hint="eastAsia" w:ascii="仿宋" w:hAnsi="仿宋" w:eastAsia="仿宋" w:cs="仿宋"/>
          <w:sz w:val="32"/>
          <w:szCs w:val="32"/>
          <w:lang w:bidi="ar"/>
        </w:rPr>
        <w:t>附件1：</w:t>
      </w:r>
    </w:p>
    <w:p>
      <w:pPr>
        <w:jc w:val="center"/>
      </w:pPr>
      <w:r>
        <w:rPr>
          <w:rFonts w:hint="eastAsia" w:eastAsia="方正小标宋简体" w:cs="方正小标宋简体"/>
          <w:sz w:val="44"/>
          <w:szCs w:val="44"/>
        </w:rPr>
        <w:t>校赛成长赛道方案</w:t>
      </w:r>
    </w:p>
    <w:p>
      <w:pPr>
        <w:snapToGrid w:val="0"/>
        <w:spacing w:line="560" w:lineRule="exact"/>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校级决赛环节：</w:t>
      </w:r>
      <w:bookmarkStart w:id="2" w:name="_Hlk208213792"/>
      <w:r>
        <w:rPr>
          <w:rFonts w:hint="eastAsia" w:ascii="宋体" w:hAnsi="宋体" w:eastAsia="宋体" w:cs="宋体"/>
          <w:color w:val="333333"/>
          <w:kern w:val="0"/>
          <w:sz w:val="28"/>
          <w:szCs w:val="28"/>
        </w:rPr>
        <w:t>成长赛道设主题陈述和评委提问环节</w:t>
      </w:r>
      <w:bookmarkEnd w:id="2"/>
      <w:r>
        <w:rPr>
          <w:rFonts w:hint="eastAsia" w:ascii="宋体" w:hAnsi="宋体" w:eastAsia="宋体" w:cs="宋体"/>
          <w:color w:val="333333"/>
          <w:kern w:val="0"/>
          <w:sz w:val="28"/>
          <w:szCs w:val="28"/>
        </w:rPr>
        <w:t>。</w:t>
      </w:r>
    </w:p>
    <w:p>
      <w:pPr>
        <w:snapToGrid w:val="0"/>
        <w:spacing w:line="560" w:lineRule="exact"/>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1.主题陈述（8分钟）：选手结合生涯发展报告进行陈述和展示。展示可以选用道具，仅限选手本人完成。</w:t>
      </w:r>
    </w:p>
    <w:p>
      <w:pPr>
        <w:snapToGrid w:val="0"/>
        <w:spacing w:line="560" w:lineRule="exact"/>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2.评委提问（5分钟）：评委结合选手陈述和现场表现进行提问。</w:t>
      </w:r>
    </w:p>
    <w:p>
      <w:pPr>
        <w:widowControl/>
        <w:numPr>
          <w:ilvl w:val="0"/>
          <w:numId w:val="1"/>
        </w:numPr>
        <w:adjustRightInd w:val="0"/>
        <w:snapToGrid w:val="0"/>
        <w:spacing w:line="560" w:lineRule="exact"/>
        <w:ind w:firstLine="640" w:firstLineChars="200"/>
        <w:rPr>
          <w:rFonts w:eastAsia="黑体" w:cs="仿宋_GB2312"/>
          <w:bCs/>
          <w:sz w:val="32"/>
          <w:szCs w:val="32"/>
        </w:rPr>
      </w:pPr>
      <w:r>
        <w:rPr>
          <w:rFonts w:hint="eastAsia" w:eastAsia="黑体" w:cs="仿宋_GB2312"/>
          <w:bCs/>
          <w:sz w:val="32"/>
          <w:szCs w:val="32"/>
        </w:rPr>
        <w:t>评审标准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7204"/>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dxa"/>
            <w:vAlign w:val="center"/>
          </w:tcPr>
          <w:p>
            <w:pPr>
              <w:adjustRightInd w:val="0"/>
              <w:snapToGrid w:val="0"/>
              <w:jc w:val="center"/>
              <w:rPr>
                <w:b/>
              </w:rPr>
            </w:pPr>
            <w:r>
              <w:rPr>
                <w:rFonts w:hint="eastAsia"/>
                <w:b/>
              </w:rPr>
              <w:t>指标</w:t>
            </w:r>
          </w:p>
        </w:tc>
        <w:tc>
          <w:tcPr>
            <w:tcW w:w="7204" w:type="dxa"/>
            <w:vAlign w:val="center"/>
          </w:tcPr>
          <w:p>
            <w:pPr>
              <w:adjustRightInd w:val="0"/>
              <w:snapToGrid w:val="0"/>
              <w:jc w:val="center"/>
              <w:rPr>
                <w:b/>
              </w:rPr>
            </w:pPr>
            <w:r>
              <w:rPr>
                <w:rFonts w:hint="eastAsia"/>
                <w:b/>
              </w:rPr>
              <w:t>说明</w:t>
            </w:r>
          </w:p>
        </w:tc>
        <w:tc>
          <w:tcPr>
            <w:tcW w:w="859" w:type="dxa"/>
            <w:vAlign w:val="center"/>
          </w:tcPr>
          <w:p>
            <w:pPr>
              <w:adjustRightInd w:val="0"/>
              <w:snapToGrid w:val="0"/>
              <w:jc w:val="center"/>
              <w:rPr>
                <w:b/>
              </w:rPr>
            </w:pPr>
            <w:r>
              <w:rPr>
                <w:rFonts w:hint="eastAsia"/>
                <w:b/>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1033" w:type="dxa"/>
            <w:vAlign w:val="center"/>
          </w:tcPr>
          <w:p>
            <w:pPr>
              <w:ind w:firstLine="210" w:firstLineChars="100"/>
            </w:pPr>
            <w:r>
              <w:rPr>
                <w:rFonts w:hint="eastAsia"/>
              </w:rPr>
              <w:t>职业</w:t>
            </w:r>
          </w:p>
          <w:p>
            <w:pPr>
              <w:ind w:firstLine="210" w:firstLineChars="100"/>
            </w:pPr>
            <w:r>
              <w:rPr>
                <w:rFonts w:hint="eastAsia"/>
              </w:rPr>
              <w:t>目标</w:t>
            </w:r>
          </w:p>
        </w:tc>
        <w:tc>
          <w:tcPr>
            <w:tcW w:w="7204" w:type="dxa"/>
            <w:vAlign w:val="center"/>
          </w:tcPr>
          <w:p>
            <w:pPr>
              <w:ind w:left="106"/>
            </w:pPr>
            <w:r>
              <w:rPr>
                <w:rFonts w:hint="eastAsia"/>
              </w:rPr>
              <w:t>职业目标</w:t>
            </w:r>
            <w:r>
              <w:t>体现</w:t>
            </w:r>
            <w:r>
              <w:rPr>
                <w:rFonts w:hint="eastAsia"/>
              </w:rPr>
              <w:t>积极正向</w:t>
            </w:r>
            <w:r>
              <w:t>的价值追求，</w:t>
            </w:r>
            <w:r>
              <w:rPr>
                <w:rFonts w:hint="eastAsia"/>
              </w:rPr>
              <w:t>能够将个人理想与国家需要、经济社会发展相结合。</w:t>
            </w:r>
          </w:p>
          <w:p>
            <w:pPr>
              <w:ind w:left="106"/>
            </w:pPr>
            <w:r>
              <w:rPr>
                <w:rFonts w:hint="eastAsia"/>
              </w:rPr>
              <w:t>职业目标匹配</w:t>
            </w:r>
            <w:r>
              <w:t>个人价值观</w:t>
            </w:r>
            <w:r>
              <w:rPr>
                <w:rFonts w:hint="eastAsia"/>
              </w:rPr>
              <w:t>、</w:t>
            </w:r>
            <w:r>
              <w:t>能力</w:t>
            </w:r>
            <w:r>
              <w:rPr>
                <w:rFonts w:hint="eastAsia"/>
              </w:rPr>
              <w:t>优势</w:t>
            </w:r>
            <w:r>
              <w:t>、</w:t>
            </w:r>
            <w:r>
              <w:rPr>
                <w:rFonts w:hint="eastAsia"/>
              </w:rPr>
              <w:t>兴趣特点。</w:t>
            </w:r>
          </w:p>
          <w:p>
            <w:pPr>
              <w:ind w:left="106"/>
            </w:pPr>
            <w:r>
              <w:t>准确</w:t>
            </w:r>
            <w:r>
              <w:rPr>
                <w:rFonts w:hint="eastAsia"/>
              </w:rPr>
              <w:t>认识目标</w:t>
            </w:r>
            <w:r>
              <w:t>职业</w:t>
            </w:r>
            <w:r>
              <w:rPr>
                <w:rFonts w:hint="eastAsia"/>
              </w:rPr>
              <w:t>在专业知识、通用素质、就业能力等方面的要求，科学分析个人现实情况与目标要求的差距，制定合理可行的计划。</w:t>
            </w:r>
          </w:p>
        </w:tc>
        <w:tc>
          <w:tcPr>
            <w:tcW w:w="859" w:type="dxa"/>
            <w:vAlign w:val="center"/>
          </w:tcPr>
          <w:p>
            <w:pPr>
              <w:adjustRightInd w:val="0"/>
              <w:snapToGrid w:val="0"/>
              <w:jc w:val="center"/>
            </w:pP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1033" w:type="dxa"/>
            <w:vAlign w:val="center"/>
          </w:tcPr>
          <w:p>
            <w:pPr>
              <w:ind w:firstLine="210" w:firstLineChars="100"/>
            </w:pPr>
            <w:r>
              <w:rPr>
                <w:rFonts w:hint="eastAsia"/>
              </w:rPr>
              <w:t>行动</w:t>
            </w:r>
          </w:p>
          <w:p>
            <w:pPr>
              <w:ind w:firstLine="210" w:firstLineChars="100"/>
            </w:pPr>
            <w:r>
              <w:rPr>
                <w:rFonts w:hint="eastAsia"/>
              </w:rPr>
              <w:t>成果</w:t>
            </w:r>
          </w:p>
        </w:tc>
        <w:tc>
          <w:tcPr>
            <w:tcW w:w="7204" w:type="dxa"/>
            <w:vAlign w:val="center"/>
          </w:tcPr>
          <w:p>
            <w:pPr>
              <w:ind w:left="106"/>
            </w:pPr>
            <w:r>
              <w:rPr>
                <w:rFonts w:hint="eastAsia"/>
              </w:rPr>
              <w:t>成长行动符合目标</w:t>
            </w:r>
            <w:r>
              <w:t>职业</w:t>
            </w:r>
            <w:r>
              <w:rPr>
                <w:rFonts w:hint="eastAsia"/>
              </w:rPr>
              <w:t>在通用素质、就业能力、职业道德等方面的要求。</w:t>
            </w:r>
          </w:p>
          <w:p>
            <w:pPr>
              <w:ind w:left="106"/>
            </w:pPr>
            <w:r>
              <w:rPr>
                <w:rFonts w:hint="eastAsia"/>
              </w:rPr>
              <w:t>成长行动</w:t>
            </w:r>
            <w:r>
              <w:t>对</w:t>
            </w:r>
            <w:r>
              <w:rPr>
                <w:rFonts w:hint="eastAsia"/>
              </w:rPr>
              <w:t>弥补个人不足的</w:t>
            </w:r>
            <w:r>
              <w:t>针对性</w:t>
            </w:r>
            <w:r>
              <w:rPr>
                <w:rFonts w:hint="eastAsia"/>
              </w:rPr>
              <w:t>较强</w:t>
            </w:r>
            <w:r>
              <w:t>。</w:t>
            </w:r>
          </w:p>
          <w:p>
            <w:pPr>
              <w:ind w:left="106"/>
            </w:pPr>
            <w:r>
              <w:rPr>
                <w:rFonts w:hint="eastAsia"/>
              </w:rPr>
              <w:t>能够将专业知识应用于成长实践，提高通用素质和就业能力</w:t>
            </w:r>
            <w:r>
              <w:t>。</w:t>
            </w:r>
          </w:p>
          <w:p>
            <w:pPr>
              <w:ind w:left="106"/>
            </w:pPr>
            <w:r>
              <w:rPr>
                <w:rFonts w:hint="eastAsia"/>
              </w:rPr>
              <w:t>成长行动内容丰富，取得阶段性成果。</w:t>
            </w:r>
          </w:p>
        </w:tc>
        <w:tc>
          <w:tcPr>
            <w:tcW w:w="859" w:type="dxa"/>
            <w:vAlign w:val="center"/>
          </w:tcPr>
          <w:p>
            <w:pPr>
              <w:adjustRightInd w:val="0"/>
              <w:snapToGrid w:val="0"/>
              <w:jc w:val="center"/>
            </w:pPr>
            <w:r>
              <w:t>4</w:t>
            </w:r>
            <w:r>
              <w:rPr>
                <w:rFonts w:hint="eastAsi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1033" w:type="dxa"/>
            <w:vAlign w:val="center"/>
          </w:tcPr>
          <w:p>
            <w:pPr>
              <w:jc w:val="center"/>
            </w:pPr>
            <w:r>
              <w:rPr>
                <w:rFonts w:hint="eastAsia"/>
              </w:rPr>
              <w:t>目标</w:t>
            </w:r>
          </w:p>
          <w:p>
            <w:r>
              <w:rPr>
                <w:rFonts w:hint="eastAsia"/>
              </w:rPr>
              <w:t>契合度</w:t>
            </w:r>
          </w:p>
        </w:tc>
        <w:tc>
          <w:tcPr>
            <w:tcW w:w="7204" w:type="dxa"/>
            <w:vAlign w:val="center"/>
          </w:tcPr>
          <w:p>
            <w:pPr>
              <w:ind w:left="106"/>
            </w:pPr>
            <w:r>
              <w:rPr>
                <w:rFonts w:hint="eastAsia"/>
              </w:rPr>
              <w:t>行动成果与职业目标的契合程度。</w:t>
            </w:r>
          </w:p>
          <w:p>
            <w:pPr>
              <w:ind w:left="106"/>
            </w:pPr>
            <w:r>
              <w:rPr>
                <w:rFonts w:hint="eastAsia"/>
              </w:rPr>
              <w:t>总结成长行动中存在的不足和原因，对成长计划进行自我</w:t>
            </w:r>
            <w:r>
              <w:t>评估</w:t>
            </w:r>
            <w:r>
              <w:rPr>
                <w:rFonts w:hint="eastAsia"/>
              </w:rPr>
              <w:t>和动态调整。</w:t>
            </w:r>
          </w:p>
        </w:tc>
        <w:tc>
          <w:tcPr>
            <w:tcW w:w="859" w:type="dxa"/>
            <w:vAlign w:val="center"/>
          </w:tcPr>
          <w:p>
            <w:pPr>
              <w:adjustRightInd w:val="0"/>
              <w:snapToGrid w:val="0"/>
              <w:jc w:val="center"/>
            </w:pPr>
            <w:r>
              <w:t>3</w:t>
            </w:r>
            <w:r>
              <w:rPr>
                <w:rFonts w:hint="eastAsia"/>
              </w:rPr>
              <w:t>5</w:t>
            </w:r>
          </w:p>
        </w:tc>
      </w:tr>
    </w:tbl>
    <w:p/>
    <w:p/>
    <w:p/>
    <w:p/>
    <w:p>
      <w:pPr>
        <w:rPr>
          <w:rFonts w:hint="eastAsia"/>
        </w:rPr>
      </w:pPr>
    </w:p>
    <w:p>
      <w:pPr>
        <w:jc w:val="left"/>
        <w:rPr>
          <w:rFonts w:hint="eastAsia" w:ascii="仿宋" w:hAnsi="仿宋" w:eastAsia="仿宋" w:cs="仿宋"/>
          <w:sz w:val="32"/>
          <w:szCs w:val="32"/>
          <w:lang w:bidi="ar"/>
        </w:rPr>
      </w:pPr>
      <w:r>
        <w:rPr>
          <w:rFonts w:hint="eastAsia" w:ascii="仿宋" w:hAnsi="仿宋" w:eastAsia="仿宋" w:cs="仿宋"/>
          <w:sz w:val="32"/>
          <w:szCs w:val="32"/>
          <w:lang w:bidi="ar"/>
        </w:rPr>
        <w:t>附件2：</w:t>
      </w:r>
    </w:p>
    <w:p>
      <w:pPr>
        <w:jc w:val="center"/>
      </w:pPr>
      <w:r>
        <w:rPr>
          <w:rFonts w:hint="eastAsia" w:eastAsia="方正小标宋简体" w:cs="方正小标宋简体"/>
          <w:sz w:val="44"/>
          <w:szCs w:val="44"/>
        </w:rPr>
        <w:t>校赛就业赛道方案</w:t>
      </w:r>
    </w:p>
    <w:p>
      <w:pPr>
        <w:ind w:firstLine="280" w:firstLineChars="1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校级决赛环节：</w:t>
      </w:r>
      <w:bookmarkStart w:id="3" w:name="_Hlk208213805"/>
      <w:r>
        <w:rPr>
          <w:rFonts w:hint="eastAsia" w:ascii="宋体" w:hAnsi="宋体" w:eastAsia="宋体" w:cs="宋体"/>
          <w:color w:val="333333"/>
          <w:kern w:val="0"/>
          <w:sz w:val="28"/>
          <w:szCs w:val="28"/>
        </w:rPr>
        <w:t>就业赛道设主题陈述和综合面试环节。</w:t>
      </w:r>
      <w:bookmarkEnd w:id="3"/>
    </w:p>
    <w:p>
      <w:pPr>
        <w:pStyle w:val="10"/>
        <w:numPr>
          <w:ilvl w:val="0"/>
          <w:numId w:val="2"/>
        </w:numPr>
        <w:ind w:firstLineChars="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主题陈述（7分钟）：选手陈述个人求职意向和职业准备情况，展</w:t>
      </w:r>
    </w:p>
    <w:p>
      <w:pPr>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示通用素质与岗位能力。展示可以选用道具，仅限选手本人完成。</w:t>
      </w:r>
    </w:p>
    <w:p>
      <w:pPr>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2.综合面试（8分钟）：评委提出真实工作场景中可能遇到的问题，选手提出解决方案；评委结合选手陈述自由提问。</w:t>
      </w:r>
    </w:p>
    <w:p>
      <w:pPr>
        <w:numPr>
          <w:ilvl w:val="0"/>
          <w:numId w:val="3"/>
        </w:numPr>
        <w:ind w:firstLine="640" w:firstLineChars="200"/>
        <w:rPr>
          <w:rFonts w:eastAsia="黑体" w:cs="仿宋_GB2312"/>
          <w:bCs/>
          <w:sz w:val="32"/>
          <w:szCs w:val="32"/>
        </w:rPr>
      </w:pPr>
      <w:r>
        <w:rPr>
          <w:rFonts w:hint="eastAsia" w:eastAsia="黑体" w:cs="仿宋_GB2312"/>
          <w:bCs/>
          <w:sz w:val="32"/>
          <w:szCs w:val="32"/>
        </w:rPr>
        <w:t>评审标准</w:t>
      </w:r>
    </w:p>
    <w:tbl>
      <w:tblPr>
        <w:tblStyle w:val="5"/>
        <w:tblW w:w="50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5"/>
        <w:gridCol w:w="6322"/>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52" w:type="pct"/>
            <w:vAlign w:val="center"/>
          </w:tcPr>
          <w:p>
            <w:pPr>
              <w:jc w:val="center"/>
              <w:rPr>
                <w:rFonts w:hint="default"/>
              </w:rPr>
            </w:pPr>
            <w:r>
              <w:rPr>
                <w:rFonts w:hint="eastAsia"/>
              </w:rPr>
              <w:t>指标</w:t>
            </w:r>
          </w:p>
        </w:tc>
        <w:tc>
          <w:tcPr>
            <w:tcW w:w="3676" w:type="pct"/>
            <w:vAlign w:val="center"/>
          </w:tcPr>
          <w:p>
            <w:pPr>
              <w:jc w:val="center"/>
              <w:rPr>
                <w:rFonts w:hint="default"/>
              </w:rPr>
            </w:pPr>
            <w:r>
              <w:rPr>
                <w:rFonts w:hint="eastAsia"/>
              </w:rPr>
              <w:t>说明</w:t>
            </w:r>
          </w:p>
        </w:tc>
        <w:tc>
          <w:tcPr>
            <w:tcW w:w="471" w:type="pct"/>
            <w:vAlign w:val="center"/>
          </w:tcPr>
          <w:p>
            <w:pPr>
              <w:jc w:val="center"/>
              <w:rPr>
                <w:rFonts w:hint="default"/>
              </w:rPr>
            </w:pPr>
            <w:r>
              <w:rPr>
                <w:rFonts w:hint="eastAsia"/>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52" w:type="pct"/>
            <w:vMerge w:val="restart"/>
            <w:vAlign w:val="center"/>
          </w:tcPr>
          <w:p>
            <w:pPr>
              <w:jc w:val="center"/>
              <w:rPr>
                <w:rFonts w:hint="default"/>
              </w:rPr>
            </w:pPr>
            <w:r>
              <w:rPr>
                <w:rFonts w:hint="eastAsia"/>
              </w:rPr>
              <w:t>职业目标</w:t>
            </w:r>
          </w:p>
        </w:tc>
        <w:tc>
          <w:tcPr>
            <w:tcW w:w="3676" w:type="pct"/>
            <w:vAlign w:val="center"/>
          </w:tcPr>
          <w:p>
            <w:pPr>
              <w:numPr>
                <w:ilvl w:val="255"/>
                <w:numId w:val="0"/>
              </w:numPr>
              <w:jc w:val="left"/>
              <w:rPr>
                <w:rFonts w:hint="default"/>
              </w:rPr>
            </w:pPr>
            <w:r>
              <w:rPr>
                <w:rFonts w:hint="eastAsia"/>
              </w:rPr>
              <w:t>能够结合就业市场需求和个人所学专业、能力及兴趣等特点，合理设定职业目标</w:t>
            </w:r>
          </w:p>
        </w:tc>
        <w:tc>
          <w:tcPr>
            <w:tcW w:w="471" w:type="pct"/>
            <w:vAlign w:val="center"/>
          </w:tcPr>
          <w:p>
            <w:pPr>
              <w:jc w:val="center"/>
              <w:rPr>
                <w:rFonts w:hint="default"/>
              </w:rPr>
            </w:pPr>
            <w:r>
              <w:rPr>
                <w:rFonts w:hint="default"/>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52" w:type="pct"/>
            <w:vMerge w:val="continue"/>
            <w:vAlign w:val="center"/>
          </w:tcPr>
          <w:p>
            <w:pPr>
              <w:jc w:val="center"/>
              <w:rPr>
                <w:rFonts w:hint="default"/>
              </w:rPr>
            </w:pPr>
          </w:p>
        </w:tc>
        <w:tc>
          <w:tcPr>
            <w:tcW w:w="3676" w:type="pct"/>
            <w:vAlign w:val="center"/>
          </w:tcPr>
          <w:p>
            <w:pPr>
              <w:numPr>
                <w:ilvl w:val="255"/>
                <w:numId w:val="0"/>
              </w:numPr>
              <w:jc w:val="left"/>
              <w:rPr>
                <w:rFonts w:hint="default"/>
              </w:rPr>
            </w:pPr>
            <w:r>
              <w:rPr>
                <w:rFonts w:hint="eastAsia"/>
              </w:rPr>
              <w:t>准确把握目标职业的任职要求、工作内容、基本流程和发展前景等</w:t>
            </w:r>
          </w:p>
        </w:tc>
        <w:tc>
          <w:tcPr>
            <w:tcW w:w="471" w:type="pct"/>
            <w:vAlign w:val="center"/>
          </w:tcPr>
          <w:p>
            <w:pPr>
              <w:jc w:val="center"/>
              <w:rPr>
                <w:rFonts w:hint="default"/>
              </w:rPr>
            </w:pPr>
            <w:r>
              <w:rPr>
                <w:rFonts w:hint="default"/>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52" w:type="pct"/>
            <w:vMerge w:val="restart"/>
            <w:vAlign w:val="center"/>
          </w:tcPr>
          <w:p>
            <w:pPr>
              <w:jc w:val="center"/>
              <w:rPr>
                <w:rFonts w:hint="default"/>
              </w:rPr>
            </w:pPr>
            <w:r>
              <w:rPr>
                <w:rFonts w:hint="eastAsia"/>
              </w:rPr>
              <w:t>岗位</w:t>
            </w:r>
          </w:p>
          <w:p>
            <w:pPr>
              <w:jc w:val="center"/>
              <w:rPr>
                <w:rFonts w:hint="default"/>
              </w:rPr>
            </w:pPr>
            <w:r>
              <w:rPr>
                <w:rFonts w:hint="eastAsia"/>
              </w:rPr>
              <w:t>胜任力</w:t>
            </w:r>
          </w:p>
        </w:tc>
        <w:tc>
          <w:tcPr>
            <w:tcW w:w="3676" w:type="pct"/>
            <w:vAlign w:val="center"/>
          </w:tcPr>
          <w:p>
            <w:pPr>
              <w:jc w:val="left"/>
              <w:rPr>
                <w:rFonts w:hint="default"/>
              </w:rPr>
            </w:pPr>
            <w:r>
              <w:rPr>
                <w:rFonts w:hint="eastAsia"/>
              </w:rPr>
              <w:t>具备目标岗位所需综合素质，如思维认知、沟通协作能力和执行力等，具有敬业奉献的职业精神</w:t>
            </w:r>
          </w:p>
        </w:tc>
        <w:tc>
          <w:tcPr>
            <w:tcW w:w="471" w:type="pct"/>
            <w:vAlign w:val="center"/>
          </w:tcPr>
          <w:p>
            <w:pPr>
              <w:jc w:val="center"/>
              <w:rPr>
                <w:rFonts w:hint="default"/>
              </w:rPr>
            </w:pPr>
            <w:r>
              <w:rPr>
                <w:rFonts w:hint="default"/>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852" w:type="pct"/>
            <w:vMerge w:val="continue"/>
            <w:vAlign w:val="center"/>
          </w:tcPr>
          <w:p>
            <w:pPr>
              <w:jc w:val="center"/>
              <w:rPr>
                <w:rFonts w:hint="default"/>
              </w:rPr>
            </w:pPr>
          </w:p>
        </w:tc>
        <w:tc>
          <w:tcPr>
            <w:tcW w:w="3676" w:type="pct"/>
            <w:vAlign w:val="center"/>
          </w:tcPr>
          <w:p>
            <w:pPr>
              <w:jc w:val="left"/>
              <w:rPr>
                <w:rFonts w:hint="default"/>
              </w:rPr>
            </w:pPr>
            <w:r>
              <w:rPr>
                <w:rFonts w:hint="eastAsia"/>
              </w:rPr>
              <w:t>具备目标岗位所需的专业知识和技能要求，相关实习实践经历丰富，具备解决实际问题的专业能力</w:t>
            </w:r>
          </w:p>
        </w:tc>
        <w:tc>
          <w:tcPr>
            <w:tcW w:w="471" w:type="pct"/>
            <w:vAlign w:val="center"/>
          </w:tcPr>
          <w:p>
            <w:pPr>
              <w:jc w:val="center"/>
              <w:rPr>
                <w:rFonts w:hint="default"/>
              </w:rPr>
            </w:pPr>
            <w:r>
              <w:rPr>
                <w:rFonts w:hint="default"/>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exact"/>
          <w:jc w:val="center"/>
        </w:trPr>
        <w:tc>
          <w:tcPr>
            <w:tcW w:w="852" w:type="pct"/>
            <w:vAlign w:val="center"/>
          </w:tcPr>
          <w:p>
            <w:pPr>
              <w:jc w:val="center"/>
              <w:rPr>
                <w:rFonts w:hint="default"/>
              </w:rPr>
            </w:pPr>
            <w:r>
              <w:rPr>
                <w:rFonts w:hint="eastAsia"/>
              </w:rPr>
              <w:t>发展潜力</w:t>
            </w:r>
          </w:p>
        </w:tc>
        <w:tc>
          <w:tcPr>
            <w:tcW w:w="3676" w:type="pct"/>
            <w:vAlign w:val="center"/>
          </w:tcPr>
          <w:p>
            <w:pPr>
              <w:jc w:val="left"/>
              <w:rPr>
                <w:rFonts w:hint="default"/>
              </w:rPr>
            </w:pPr>
            <w:r>
              <w:rPr>
                <w:rFonts w:hint="eastAsia"/>
              </w:rPr>
              <w:t>具备持续学习能力、创新精神和应对不确定性挑战的潜质，适应未来职业发展要求；符合就业市场需求，现场获得用人单位提供的录用意向</w:t>
            </w:r>
          </w:p>
        </w:tc>
        <w:tc>
          <w:tcPr>
            <w:tcW w:w="471" w:type="pct"/>
            <w:vAlign w:val="center"/>
          </w:tcPr>
          <w:p>
            <w:pPr>
              <w:jc w:val="center"/>
              <w:rPr>
                <w:rFonts w:hint="default"/>
              </w:rPr>
            </w:pPr>
            <w:r>
              <w:rPr>
                <w:rFonts w:hint="default"/>
              </w:rPr>
              <w:t>10</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方正小标宋简体">
    <w:altName w:val="方正小标宋_GBK"/>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汉仪楷体KW">
    <w:panose1 w:val="00020600040101010101"/>
    <w:charset w:val="86"/>
    <w:family w:val="auto"/>
    <w:pitch w:val="default"/>
    <w:sig w:usb0="A00002BF" w:usb1="18EF7CFA" w:usb2="00000016"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C80081"/>
    <w:multiLevelType w:val="singleLevel"/>
    <w:tmpl w:val="8CC80081"/>
    <w:lvl w:ilvl="0" w:tentative="0">
      <w:start w:val="1"/>
      <w:numFmt w:val="chineseCounting"/>
      <w:suff w:val="nothing"/>
      <w:lvlText w:val="%1、"/>
      <w:lvlJc w:val="left"/>
      <w:pPr>
        <w:ind w:left="0" w:firstLine="420"/>
      </w:pPr>
    </w:lvl>
  </w:abstractNum>
  <w:abstractNum w:abstractNumId="1">
    <w:nsid w:val="D045A23D"/>
    <w:multiLevelType w:val="singleLevel"/>
    <w:tmpl w:val="D045A23D"/>
    <w:lvl w:ilvl="0" w:tentative="0">
      <w:start w:val="1"/>
      <w:numFmt w:val="chineseCounting"/>
      <w:suff w:val="nothing"/>
      <w:lvlText w:val="%1、"/>
      <w:lvlJc w:val="left"/>
      <w:pPr>
        <w:ind w:left="0" w:firstLine="420"/>
      </w:pPr>
      <w:rPr>
        <w:rFonts w:hint="eastAsia"/>
      </w:rPr>
    </w:lvl>
  </w:abstractNum>
  <w:abstractNum w:abstractNumId="2">
    <w:nsid w:val="1FA238A8"/>
    <w:multiLevelType w:val="multilevel"/>
    <w:tmpl w:val="1FA238A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ED"/>
    <w:rsid w:val="00047C4A"/>
    <w:rsid w:val="0005704C"/>
    <w:rsid w:val="000771B0"/>
    <w:rsid w:val="000951FE"/>
    <w:rsid w:val="000A5759"/>
    <w:rsid w:val="000E3242"/>
    <w:rsid w:val="000F03B9"/>
    <w:rsid w:val="0013590A"/>
    <w:rsid w:val="001446CE"/>
    <w:rsid w:val="00157006"/>
    <w:rsid w:val="00160331"/>
    <w:rsid w:val="001754D1"/>
    <w:rsid w:val="001D474A"/>
    <w:rsid w:val="001F60FD"/>
    <w:rsid w:val="00273BF6"/>
    <w:rsid w:val="00295693"/>
    <w:rsid w:val="002D1B15"/>
    <w:rsid w:val="00313F3B"/>
    <w:rsid w:val="00374CBA"/>
    <w:rsid w:val="003A6712"/>
    <w:rsid w:val="003A69EB"/>
    <w:rsid w:val="003A6F87"/>
    <w:rsid w:val="003B5761"/>
    <w:rsid w:val="003B6C90"/>
    <w:rsid w:val="003C4331"/>
    <w:rsid w:val="00400BFA"/>
    <w:rsid w:val="00405559"/>
    <w:rsid w:val="00411EC5"/>
    <w:rsid w:val="00446591"/>
    <w:rsid w:val="0046151B"/>
    <w:rsid w:val="00476E8C"/>
    <w:rsid w:val="004976BA"/>
    <w:rsid w:val="00501AF3"/>
    <w:rsid w:val="0051723A"/>
    <w:rsid w:val="00565F7A"/>
    <w:rsid w:val="005B0B05"/>
    <w:rsid w:val="005D72C6"/>
    <w:rsid w:val="0065716A"/>
    <w:rsid w:val="006874A1"/>
    <w:rsid w:val="00697DDA"/>
    <w:rsid w:val="006C6A64"/>
    <w:rsid w:val="006D2B67"/>
    <w:rsid w:val="006E26ED"/>
    <w:rsid w:val="006F51EF"/>
    <w:rsid w:val="00705016"/>
    <w:rsid w:val="00714771"/>
    <w:rsid w:val="007229DD"/>
    <w:rsid w:val="00745DEE"/>
    <w:rsid w:val="00751C3C"/>
    <w:rsid w:val="00755A33"/>
    <w:rsid w:val="00770012"/>
    <w:rsid w:val="007A1BED"/>
    <w:rsid w:val="007B144F"/>
    <w:rsid w:val="007B3FE4"/>
    <w:rsid w:val="007C324B"/>
    <w:rsid w:val="00853710"/>
    <w:rsid w:val="00866469"/>
    <w:rsid w:val="008A070D"/>
    <w:rsid w:val="008A4903"/>
    <w:rsid w:val="008D12BD"/>
    <w:rsid w:val="0091460D"/>
    <w:rsid w:val="00976B56"/>
    <w:rsid w:val="00982B8E"/>
    <w:rsid w:val="00A13A6C"/>
    <w:rsid w:val="00A73A9C"/>
    <w:rsid w:val="00B03411"/>
    <w:rsid w:val="00B21D0E"/>
    <w:rsid w:val="00B47AC3"/>
    <w:rsid w:val="00B75048"/>
    <w:rsid w:val="00B87CE9"/>
    <w:rsid w:val="00C331D1"/>
    <w:rsid w:val="00CA2FE8"/>
    <w:rsid w:val="00CB0331"/>
    <w:rsid w:val="00CD6E49"/>
    <w:rsid w:val="00D20F57"/>
    <w:rsid w:val="00D51324"/>
    <w:rsid w:val="00DB2CFA"/>
    <w:rsid w:val="00DF3232"/>
    <w:rsid w:val="00E063B6"/>
    <w:rsid w:val="00E17A55"/>
    <w:rsid w:val="00EC219D"/>
    <w:rsid w:val="00ED55BE"/>
    <w:rsid w:val="00EE3A9F"/>
    <w:rsid w:val="00F40EAB"/>
    <w:rsid w:val="00F53AA0"/>
    <w:rsid w:val="00FA1396"/>
    <w:rsid w:val="00FB6774"/>
    <w:rsid w:val="00FF4A52"/>
    <w:rsid w:val="0B262134"/>
    <w:rsid w:val="19397AAF"/>
    <w:rsid w:val="1F0C0D38"/>
    <w:rsid w:val="2D103D68"/>
    <w:rsid w:val="311A2046"/>
    <w:rsid w:val="3F2923D3"/>
    <w:rsid w:val="65BA4AAE"/>
    <w:rsid w:val="7FF758C6"/>
    <w:rsid w:val="9EFDE389"/>
    <w:rsid w:val="9F9F80E9"/>
    <w:rsid w:val="F8FEB6E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uiPriority w:val="99"/>
    <w:pPr>
      <w:tabs>
        <w:tab w:val="center" w:pos="4153"/>
        <w:tab w:val="right" w:pos="8306"/>
      </w:tabs>
      <w:snapToGrid w:val="0"/>
      <w:jc w:val="left"/>
    </w:pPr>
    <w:rPr>
      <w:sz w:val="18"/>
      <w:szCs w:val="18"/>
    </w:rPr>
  </w:style>
  <w:style w:type="paragraph" w:styleId="3">
    <w:name w:val="header"/>
    <w:basedOn w:val="1"/>
    <w:link w:val="11"/>
    <w:unhideWhenUsed/>
    <w:uiPriority w:val="99"/>
    <w:pPr>
      <w:tabs>
        <w:tab w:val="center" w:pos="4153"/>
        <w:tab w:val="right" w:pos="8306"/>
      </w:tabs>
      <w:snapToGrid w:val="0"/>
      <w:jc w:val="center"/>
    </w:pPr>
    <w:rPr>
      <w:sz w:val="18"/>
      <w:szCs w:val="18"/>
    </w:rPr>
  </w:style>
  <w:style w:type="table" w:styleId="5">
    <w:name w:val="Table Grid"/>
    <w:basedOn w:val="4"/>
    <w:qFormat/>
    <w:uiPriority w:val="59"/>
    <w:rPr>
      <w:rFonts w:hint="eastAsia" w:cs="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7">
    <w:name w:val="FollowedHyperlink"/>
    <w:basedOn w:val="6"/>
    <w:semiHidden/>
    <w:unhideWhenUsed/>
    <w:qFormat/>
    <w:uiPriority w:val="99"/>
    <w:rPr>
      <w:color w:val="954F72"/>
      <w:u w:val="single"/>
    </w:rPr>
  </w:style>
  <w:style w:type="character" w:styleId="8">
    <w:name w:val="Hyperlink"/>
    <w:basedOn w:val="6"/>
    <w:unhideWhenUsed/>
    <w:qFormat/>
    <w:uiPriority w:val="99"/>
    <w:rPr>
      <w:color w:val="0563C1"/>
      <w:u w:val="single"/>
    </w:rPr>
  </w:style>
  <w:style w:type="character" w:customStyle="1" w:styleId="9">
    <w:name w:val="未处理的提及1"/>
    <w:basedOn w:val="6"/>
    <w:semiHidden/>
    <w:unhideWhenUsed/>
    <w:uiPriority w:val="99"/>
    <w:rPr>
      <w:color w:val="605E5C"/>
      <w:shd w:val="clear" w:color="auto" w:fill="E1DFDD"/>
    </w:rPr>
  </w:style>
  <w:style w:type="paragraph" w:styleId="10">
    <w:name w:val="List Paragraph"/>
    <w:basedOn w:val="1"/>
    <w:unhideWhenUsed/>
    <w:qFormat/>
    <w:uiPriority w:val="99"/>
    <w:pPr>
      <w:ind w:firstLine="420" w:firstLineChars="200"/>
    </w:pPr>
  </w:style>
  <w:style w:type="character" w:customStyle="1" w:styleId="11">
    <w:name w:val="页眉 字符"/>
    <w:basedOn w:val="6"/>
    <w:link w:val="3"/>
    <w:uiPriority w:val="99"/>
    <w:rPr>
      <w:rFonts w:asciiTheme="minorHAnsi" w:hAnsiTheme="minorHAnsi" w:eastAsiaTheme="minorEastAsia" w:cstheme="minorBidi"/>
      <w:kern w:val="2"/>
      <w:sz w:val="18"/>
      <w:szCs w:val="18"/>
    </w:rPr>
  </w:style>
  <w:style w:type="character" w:customStyle="1" w:styleId="12">
    <w:name w:val="页脚 字符"/>
    <w:basedOn w:val="6"/>
    <w:link w:val="2"/>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6</Pages>
  <Words>1230</Words>
  <Characters>1305</Characters>
  <Lines>100</Lines>
  <Paragraphs>101</Paragraphs>
  <TotalTime>261</TotalTime>
  <ScaleCrop>false</ScaleCrop>
  <LinksUpToDate>false</LinksUpToDate>
  <CharactersWithSpaces>2434</CharactersWithSpaces>
  <Application>WPS Office WWO_wpscloud_20240219104309-4f63141d98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2018-12-25T16:33:00Z</dcterms:created>
  <dc:creator>测试2</dc:creator>
  <cp:lastModifiedBy>sf li</cp:lastModifiedBy>
  <dcterms:modified xsi:type="dcterms:W3CDTF">2025-09-17T13:56:18Z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eyJoZGlkIjoiMzczZmZmMmM0YzczNmJkZGVmMWVlY2VkNzQwNzFjYTkiLCJ1c2VySWQiOiIxNTU2OTQ3NDY4In0=</vt:lpwstr>
  </property>
  <property fmtid="{D5CDD505-2E9C-101B-9397-08002B2CF9AE}" pid="4" name="ICV">
    <vt:lpwstr>F4D4463582CD4BFFBCFAFB9E968E6382_13</vt:lpwstr>
  </property>
</Properties>
</file>